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3D" w:rsidRPr="003A145F" w:rsidRDefault="003A145F">
      <w:pPr>
        <w:pStyle w:val="Standard"/>
        <w:jc w:val="both"/>
        <w:rPr>
          <w:rFonts w:ascii="Verdana" w:hAnsi="Verdana"/>
          <w:sz w:val="20"/>
          <w:szCs w:val="20"/>
        </w:rPr>
      </w:pPr>
      <w:r w:rsidRPr="003A145F">
        <w:rPr>
          <w:rFonts w:ascii="Verdana" w:hAnsi="Verdana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2EB9FD" wp14:editId="48A1D4EF">
                <wp:simplePos x="0" y="0"/>
                <wp:positionH relativeFrom="column">
                  <wp:posOffset>-450215</wp:posOffset>
                </wp:positionH>
                <wp:positionV relativeFrom="paragraph">
                  <wp:posOffset>466725</wp:posOffset>
                </wp:positionV>
                <wp:extent cx="7055485" cy="1118870"/>
                <wp:effectExtent l="0" t="0" r="0" b="5080"/>
                <wp:wrapSquare wrapText="bothSides"/>
                <wp:docPr id="1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5485" cy="111887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4543D" w:rsidRPr="00505839" w:rsidRDefault="00004002">
                            <w:pPr>
                              <w:pStyle w:val="Framecontents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MARDI 9 OCTOBRE 2018</w:t>
                            </w:r>
                          </w:p>
                          <w:p w:rsidR="00C4543D" w:rsidRPr="00505839" w:rsidRDefault="00004002">
                            <w:pPr>
                              <w:pStyle w:val="Framecontents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GRÈVE ET MANIFESTATIONS</w:t>
                            </w:r>
                          </w:p>
                          <w:p w:rsidR="00C4543D" w:rsidRPr="00505839" w:rsidRDefault="00004002">
                            <w:pPr>
                              <w:pStyle w:val="Framecontents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Nord : Petit-Marché (rdv 9h) vers la Préfecture</w:t>
                            </w:r>
                          </w:p>
                          <w:p w:rsidR="00C4543D" w:rsidRPr="00505839" w:rsidRDefault="00004002">
                            <w:pPr>
                              <w:pStyle w:val="Framecontents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Sud </w:t>
                            </w:r>
                            <w:r w:rsid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: P</w:t>
                            </w:r>
                            <w:r w:rsidR="00505839" w:rsidRP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lace de la Marie St-PIERRE (rdv 9H) vers la sous-préfecture</w:t>
                            </w:r>
                            <w:r w:rsidRPr="00505839">
                              <w:rPr>
                                <w:rFonts w:ascii="Verdana" w:hAnsi="Verdana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505839">
                              <w:rPr>
                                <w:rFonts w:ascii="Verdana" w:hAnsi="Verdan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35.45pt;margin-top:36.75pt;width:555.55pt;height:8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" fillcolor="red" stroked="f">
                <v:textbox inset="0,0,0,0">
                  <w:txbxContent>
                    <w:p w:rsidR="00C4543D" w:rsidRPr="00505839" w:rsidRDefault="00004002">
                      <w:pPr>
                        <w:pStyle w:val="Framecontents"/>
                        <w:jc w:val="center"/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MARDI 9 OCTOBRE 2018</w:t>
                      </w:r>
                    </w:p>
                    <w:p w:rsidR="00C4543D" w:rsidRPr="00505839" w:rsidRDefault="00004002">
                      <w:pPr>
                        <w:pStyle w:val="Framecontents"/>
                        <w:jc w:val="center"/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 w:rsidRP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GRÈVE ET MANIFESTATIONS</w:t>
                      </w:r>
                    </w:p>
                    <w:p w:rsidR="00C4543D" w:rsidRPr="00505839" w:rsidRDefault="00004002">
                      <w:pPr>
                        <w:pStyle w:val="Framecontents"/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Nord : Petit-Marché (rdv 9h) vers la Préfecture</w:t>
                      </w:r>
                    </w:p>
                    <w:p w:rsidR="00C4543D" w:rsidRPr="00505839" w:rsidRDefault="00004002">
                      <w:pPr>
                        <w:pStyle w:val="Framecontents"/>
                        <w:jc w:val="center"/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</w:pPr>
                      <w:r w:rsidRP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Sud </w:t>
                      </w:r>
                      <w:r w:rsid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: P</w:t>
                      </w:r>
                      <w:r w:rsidR="00505839" w:rsidRP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>lace de la Marie St-PIERRE (rdv 9H) vers la sous-préfecture</w:t>
                      </w:r>
                      <w:r w:rsidRPr="00505839">
                        <w:rPr>
                          <w:rFonts w:ascii="Verdana" w:hAnsi="Verdana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</w:t>
                      </w:r>
                      <w:r w:rsidRPr="00505839">
                        <w:rPr>
                          <w:rFonts w:ascii="Verdana" w:hAnsi="Verdan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4002" w:rsidRPr="003A145F">
        <w:rPr>
          <w:rFonts w:ascii="Verdana" w:hAnsi="Verdana"/>
          <w:noProof/>
          <w:sz w:val="20"/>
          <w:szCs w:val="20"/>
          <w:lang w:eastAsia="fr-FR" w:bidi="ar-SA"/>
        </w:rPr>
        <w:drawing>
          <wp:anchor distT="0" distB="0" distL="114300" distR="114300" simplePos="0" relativeHeight="6" behindDoc="0" locked="0" layoutInCell="1" allowOverlap="1" wp14:anchorId="247027BE" wp14:editId="7DB160DD">
            <wp:simplePos x="0" y="0"/>
            <wp:positionH relativeFrom="column">
              <wp:posOffset>-330120</wp:posOffset>
            </wp:positionH>
            <wp:positionV relativeFrom="paragraph">
              <wp:posOffset>-714240</wp:posOffset>
            </wp:positionV>
            <wp:extent cx="1117080" cy="971639"/>
            <wp:effectExtent l="0" t="0" r="687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7080" cy="971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02" w:rsidRPr="003A145F">
        <w:rPr>
          <w:rFonts w:ascii="Verdana" w:hAnsi="Verdana"/>
          <w:noProof/>
          <w:sz w:val="20"/>
          <w:szCs w:val="20"/>
          <w:lang w:eastAsia="fr-FR" w:bidi="ar-SA"/>
        </w:rPr>
        <w:drawing>
          <wp:anchor distT="0" distB="0" distL="114300" distR="114300" simplePos="0" relativeHeight="7" behindDoc="0" locked="0" layoutInCell="1" allowOverlap="1" wp14:anchorId="18DDEB02" wp14:editId="148D74C9">
            <wp:simplePos x="0" y="0"/>
            <wp:positionH relativeFrom="column">
              <wp:posOffset>786240</wp:posOffset>
            </wp:positionH>
            <wp:positionV relativeFrom="paragraph">
              <wp:posOffset>-561959</wp:posOffset>
            </wp:positionV>
            <wp:extent cx="1209599" cy="763200"/>
            <wp:effectExtent l="0" t="0" r="0" b="0"/>
            <wp:wrapSquare wrapText="bothSides"/>
            <wp:docPr id="3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599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02" w:rsidRPr="003A145F">
        <w:rPr>
          <w:rFonts w:ascii="Verdana" w:hAnsi="Verdana"/>
          <w:noProof/>
          <w:sz w:val="20"/>
          <w:szCs w:val="20"/>
          <w:lang w:eastAsia="fr-FR" w:bidi="ar-SA"/>
        </w:rPr>
        <w:drawing>
          <wp:anchor distT="0" distB="0" distL="114300" distR="114300" simplePos="0" relativeHeight="8" behindDoc="0" locked="0" layoutInCell="1" allowOverlap="1" wp14:anchorId="11C5FA52" wp14:editId="7320D136">
            <wp:simplePos x="0" y="0"/>
            <wp:positionH relativeFrom="column">
              <wp:posOffset>2054880</wp:posOffset>
            </wp:positionH>
            <wp:positionV relativeFrom="paragraph">
              <wp:posOffset>-571680</wp:posOffset>
            </wp:positionV>
            <wp:extent cx="1051559" cy="910080"/>
            <wp:effectExtent l="0" t="0" r="0" b="4320"/>
            <wp:wrapSquare wrapText="bothSides"/>
            <wp:docPr id="4" name="Image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559" cy="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02" w:rsidRPr="003A145F">
        <w:rPr>
          <w:rFonts w:ascii="Verdana" w:hAnsi="Verdana"/>
          <w:noProof/>
          <w:sz w:val="20"/>
          <w:szCs w:val="20"/>
          <w:lang w:eastAsia="fr-FR" w:bidi="ar-SA"/>
        </w:rPr>
        <w:drawing>
          <wp:anchor distT="0" distB="0" distL="114300" distR="114300" simplePos="0" relativeHeight="9" behindDoc="0" locked="0" layoutInCell="1" allowOverlap="1" wp14:anchorId="4D06F203" wp14:editId="1E7F3E6D">
            <wp:simplePos x="0" y="0"/>
            <wp:positionH relativeFrom="column">
              <wp:posOffset>3375000</wp:posOffset>
            </wp:positionH>
            <wp:positionV relativeFrom="paragraph">
              <wp:posOffset>-600120</wp:posOffset>
            </wp:positionV>
            <wp:extent cx="929159" cy="929159"/>
            <wp:effectExtent l="0" t="0" r="4291" b="4291"/>
            <wp:wrapSquare wrapText="bothSides"/>
            <wp:docPr id="5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9159" cy="92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02" w:rsidRPr="003A145F">
        <w:rPr>
          <w:rFonts w:ascii="Verdana" w:hAnsi="Verdana"/>
          <w:noProof/>
          <w:sz w:val="20"/>
          <w:szCs w:val="20"/>
          <w:lang w:eastAsia="fr-FR" w:bidi="ar-SA"/>
        </w:rPr>
        <w:drawing>
          <wp:anchor distT="0" distB="0" distL="114300" distR="114300" simplePos="0" relativeHeight="10" behindDoc="0" locked="0" layoutInCell="1" allowOverlap="1" wp14:anchorId="128A8D34" wp14:editId="6857C0CE">
            <wp:simplePos x="0" y="0"/>
            <wp:positionH relativeFrom="column">
              <wp:posOffset>4571279</wp:posOffset>
            </wp:positionH>
            <wp:positionV relativeFrom="paragraph">
              <wp:posOffset>-676440</wp:posOffset>
            </wp:positionV>
            <wp:extent cx="757440" cy="1122839"/>
            <wp:effectExtent l="0" t="0" r="4560" b="1111"/>
            <wp:wrapSquare wrapText="bothSides"/>
            <wp:docPr id="6" name="Image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440" cy="1122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002" w:rsidRPr="003A145F">
        <w:rPr>
          <w:rFonts w:ascii="Verdana" w:hAnsi="Verdana"/>
          <w:noProof/>
          <w:sz w:val="20"/>
          <w:szCs w:val="20"/>
          <w:lang w:eastAsia="fr-FR" w:bidi="ar-SA"/>
        </w:rPr>
        <w:drawing>
          <wp:anchor distT="0" distB="0" distL="114300" distR="114300" simplePos="0" relativeHeight="11" behindDoc="0" locked="0" layoutInCell="1" allowOverlap="1" wp14:anchorId="098C9287" wp14:editId="70DE09E6">
            <wp:simplePos x="0" y="0"/>
            <wp:positionH relativeFrom="column">
              <wp:posOffset>5693400</wp:posOffset>
            </wp:positionH>
            <wp:positionV relativeFrom="paragraph">
              <wp:posOffset>-561959</wp:posOffset>
            </wp:positionV>
            <wp:extent cx="921239" cy="921959"/>
            <wp:effectExtent l="0" t="0" r="0" b="0"/>
            <wp:wrapSquare wrapText="bothSides"/>
            <wp:docPr id="7" name="Image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239" cy="92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43D" w:rsidRPr="003A145F" w:rsidRDefault="00004002">
      <w:pPr>
        <w:pStyle w:val="Standard"/>
        <w:jc w:val="both"/>
        <w:rPr>
          <w:rFonts w:ascii="Verdana" w:hAnsi="Verdana"/>
          <w:sz w:val="20"/>
          <w:szCs w:val="20"/>
        </w:rPr>
      </w:pPr>
      <w:r w:rsidRPr="003A145F">
        <w:rPr>
          <w:rFonts w:ascii="Verdana" w:hAnsi="Verdana"/>
          <w:i/>
          <w:iCs/>
          <w:sz w:val="20"/>
          <w:szCs w:val="20"/>
        </w:rPr>
        <w:t xml:space="preserve">Le gouvernement est engagé dans une destruction méthodique de notre </w:t>
      </w:r>
      <w:r w:rsidRPr="003A145F">
        <w:rPr>
          <w:rFonts w:ascii="Verdana" w:hAnsi="Verdana"/>
          <w:i/>
          <w:iCs/>
          <w:sz w:val="20"/>
          <w:szCs w:val="20"/>
        </w:rPr>
        <w:t xml:space="preserve">modèle social. Attaques contre le Code du Travail, le syndicalisme, la jeunesse (Bac, lycées, </w:t>
      </w:r>
      <w:proofErr w:type="spellStart"/>
      <w:r w:rsidRPr="003A145F">
        <w:rPr>
          <w:rFonts w:ascii="Verdana" w:hAnsi="Verdana"/>
          <w:i/>
          <w:iCs/>
          <w:sz w:val="20"/>
          <w:szCs w:val="20"/>
        </w:rPr>
        <w:t>Parcoursup</w:t>
      </w:r>
      <w:proofErr w:type="spellEnd"/>
      <w:r w:rsidRPr="003A145F">
        <w:rPr>
          <w:rFonts w:ascii="Verdana" w:hAnsi="Verdana"/>
          <w:i/>
          <w:iCs/>
          <w:sz w:val="20"/>
          <w:szCs w:val="20"/>
        </w:rPr>
        <w:t xml:space="preserve">,….), cadeaux fiscaux aux plus riches, baisse des APL, suppressions d’emplois dans les services publics, baisse des contrats aidés,…. </w:t>
      </w:r>
      <w:r w:rsidRPr="003A145F">
        <w:rPr>
          <w:rFonts w:ascii="Verdana" w:hAnsi="Verdana"/>
          <w:b/>
          <w:bCs/>
          <w:i/>
          <w:iCs/>
          <w:sz w:val="20"/>
          <w:szCs w:val="20"/>
        </w:rPr>
        <w:t>Les coups pleuvent</w:t>
      </w:r>
      <w:r w:rsidRPr="003A145F">
        <w:rPr>
          <w:rFonts w:ascii="Verdana" w:hAnsi="Verdana"/>
          <w:b/>
          <w:bCs/>
          <w:i/>
          <w:iCs/>
          <w:sz w:val="20"/>
          <w:szCs w:val="20"/>
        </w:rPr>
        <w:t>!</w:t>
      </w:r>
      <w:r w:rsidRPr="003A145F">
        <w:rPr>
          <w:rFonts w:ascii="Verdana" w:hAnsi="Verdana"/>
          <w:i/>
          <w:iCs/>
          <w:sz w:val="20"/>
          <w:szCs w:val="20"/>
        </w:rPr>
        <w:t xml:space="preserve"> Malgré une popularité en chute, il persiste à poursuivre sa politique de casse tous azimuts.</w:t>
      </w:r>
    </w:p>
    <w:p w:rsidR="00C4543D" w:rsidRPr="003A145F" w:rsidRDefault="00004002">
      <w:pPr>
        <w:pStyle w:val="Standard"/>
        <w:jc w:val="both"/>
        <w:rPr>
          <w:rFonts w:ascii="Verdana" w:hAnsi="Verdana"/>
          <w:i/>
          <w:iCs/>
          <w:sz w:val="20"/>
          <w:szCs w:val="20"/>
        </w:rPr>
      </w:pPr>
      <w:r w:rsidRPr="003A145F">
        <w:rPr>
          <w:rFonts w:ascii="Verdana" w:hAnsi="Verdana"/>
          <w:i/>
          <w:iCs/>
          <w:sz w:val="20"/>
          <w:szCs w:val="20"/>
        </w:rPr>
        <w:tab/>
        <w:t>Services publics, Sécurité Sociale, retraites, prestations sociales, assurance-chômage,... sont dans le collimateur.</w:t>
      </w:r>
    </w:p>
    <w:p w:rsidR="00C4543D" w:rsidRPr="003A145F" w:rsidRDefault="00004002">
      <w:pPr>
        <w:pStyle w:val="Standard"/>
        <w:jc w:val="both"/>
        <w:rPr>
          <w:rFonts w:ascii="Verdana" w:hAnsi="Verdana" w:cs="Arial"/>
          <w:i/>
          <w:iCs/>
          <w:sz w:val="20"/>
          <w:szCs w:val="20"/>
        </w:rPr>
      </w:pPr>
      <w:r w:rsidRPr="003A145F">
        <w:rPr>
          <w:rFonts w:ascii="Verdana" w:hAnsi="Verdana" w:cs="Arial"/>
          <w:i/>
          <w:iCs/>
          <w:sz w:val="20"/>
          <w:szCs w:val="20"/>
        </w:rPr>
        <w:tab/>
        <w:t xml:space="preserve">Au moment où est annoncée une fois encore </w:t>
      </w:r>
      <w:r w:rsidRPr="003A145F">
        <w:rPr>
          <w:rFonts w:ascii="Verdana" w:hAnsi="Verdana" w:cs="Arial"/>
          <w:i/>
          <w:iCs/>
          <w:sz w:val="20"/>
          <w:szCs w:val="20"/>
        </w:rPr>
        <w:t>l’explosion des dividendes en France et dans le monde, il est temps de mener une politique de partage des richesses pour augmenter les salaires, les pensions et les minima sociaux.</w:t>
      </w:r>
    </w:p>
    <w:p w:rsidR="00C4543D" w:rsidRPr="003A145F" w:rsidRDefault="00004002">
      <w:pPr>
        <w:pStyle w:val="Standard"/>
        <w:rPr>
          <w:rFonts w:ascii="Verdana" w:hAnsi="Verdana"/>
          <w:i/>
          <w:iCs/>
          <w:sz w:val="20"/>
          <w:szCs w:val="20"/>
        </w:rPr>
      </w:pPr>
      <w:r w:rsidRPr="003A145F">
        <w:rPr>
          <w:rFonts w:ascii="Verdana" w:hAnsi="Verdana"/>
          <w:i/>
          <w:iCs/>
          <w:sz w:val="20"/>
          <w:szCs w:val="20"/>
        </w:rPr>
        <w:tab/>
        <w:t xml:space="preserve">Déjà difficile, la situation sociale de la Réunion ne pourra que </w:t>
      </w:r>
      <w:r w:rsidRPr="003A145F">
        <w:rPr>
          <w:rFonts w:ascii="Verdana" w:hAnsi="Verdana"/>
          <w:i/>
          <w:iCs/>
          <w:sz w:val="20"/>
          <w:szCs w:val="20"/>
        </w:rPr>
        <w:t>s’aggraver.</w:t>
      </w:r>
    </w:p>
    <w:p w:rsidR="00C4543D" w:rsidRPr="003A145F" w:rsidRDefault="00C4543D">
      <w:pPr>
        <w:pStyle w:val="Standard"/>
        <w:rPr>
          <w:rFonts w:ascii="Verdana" w:hAnsi="Verdana"/>
          <w:i/>
          <w:iCs/>
          <w:sz w:val="20"/>
          <w:szCs w:val="20"/>
        </w:rPr>
      </w:pPr>
    </w:p>
    <w:p w:rsidR="00C4543D" w:rsidRPr="003A145F" w:rsidRDefault="00004002">
      <w:pPr>
        <w:pStyle w:val="Standard"/>
        <w:jc w:val="center"/>
        <w:rPr>
          <w:rFonts w:ascii="Verdana" w:hAnsi="Verdana"/>
          <w:b/>
          <w:bCs/>
          <w:sz w:val="20"/>
          <w:szCs w:val="20"/>
        </w:rPr>
      </w:pPr>
      <w:r w:rsidRPr="003A145F">
        <w:rPr>
          <w:rFonts w:ascii="Verdana" w:hAnsi="Verdana"/>
          <w:b/>
          <w:bCs/>
          <w:sz w:val="20"/>
          <w:szCs w:val="20"/>
        </w:rPr>
        <w:t>C’est pourquoi les organisations signataires appellent à une large mobilisation pour exiger :</w:t>
      </w:r>
      <w:bookmarkStart w:id="0" w:name="_GoBack"/>
      <w:bookmarkEnd w:id="0"/>
    </w:p>
    <w:p w:rsidR="00C4543D" w:rsidRPr="003A145F" w:rsidRDefault="003A145F">
      <w:pPr>
        <w:pStyle w:val="Standard"/>
        <w:rPr>
          <w:rFonts w:ascii="Verdana" w:hAnsi="Verdana"/>
          <w:sz w:val="20"/>
          <w:szCs w:val="20"/>
        </w:rPr>
      </w:pPr>
      <w:r w:rsidRPr="003A145F">
        <w:rPr>
          <w:rFonts w:ascii="Verdana" w:hAnsi="Verdana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1DA6B83" wp14:editId="435B51BD">
                <wp:simplePos x="0" y="0"/>
                <wp:positionH relativeFrom="column">
                  <wp:posOffset>3188335</wp:posOffset>
                </wp:positionH>
                <wp:positionV relativeFrom="paragraph">
                  <wp:posOffset>95885</wp:posOffset>
                </wp:positionV>
                <wp:extent cx="3656965" cy="1255395"/>
                <wp:effectExtent l="0" t="0" r="19685" b="20955"/>
                <wp:wrapSquare wrapText="bothSides"/>
                <wp:docPr id="9" name="Cadr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1255395"/>
                        </a:xfrm>
                        <a:prstGeom prst="rect">
                          <a:avLst/>
                        </a:prstGeom>
                        <a:ln w="22352">
                          <a:solidFill>
                            <a:srgbClr val="FF33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543D" w:rsidRDefault="00004002">
                            <w:pPr>
                              <w:pStyle w:val="Framecontents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Face à la cherté de la vie</w:t>
                            </w:r>
                          </w:p>
                          <w:p w:rsidR="00C4543D" w:rsidRDefault="00C4543D">
                            <w:pPr>
                              <w:pStyle w:val="Standard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l’augmentation significative du SMIC et une revalor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isation des grilles salariales</w:t>
                            </w: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la revalorisation des minima sociaux</w:t>
                            </w: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la transparence sur le mécanisme de  formation des prix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4" o:spid="_x0000_s1027" type="#_x0000_t202" style="position:absolute;margin-left:251.05pt;margin-top:7.55pt;width:287.95pt;height:98.8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" filled="f" strokecolor="#f33" strokeweight="1.76pt">
                <v:textbox inset="0,0,0,0">
                  <w:txbxContent>
                    <w:p w:rsidR="00C4543D" w:rsidRDefault="00004002">
                      <w:pPr>
                        <w:pStyle w:val="Framecontents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Face à la cherté de la vie</w:t>
                      </w:r>
                    </w:p>
                    <w:p w:rsidR="00C4543D" w:rsidRDefault="00C4543D">
                      <w:pPr>
                        <w:pStyle w:val="Standard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l’augmentation significative du SMIC et une revalor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isation des grilles salariales</w:t>
                      </w: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la revalorisation des minima sociaux</w:t>
                      </w: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9"/>
                        </w:numPr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la transparence sur le mécanisme de  formation des prix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145F">
        <w:rPr>
          <w:rFonts w:ascii="Verdana" w:hAnsi="Verdana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D0C0F" wp14:editId="3F844F13">
                <wp:simplePos x="0" y="0"/>
                <wp:positionH relativeFrom="column">
                  <wp:posOffset>-204470</wp:posOffset>
                </wp:positionH>
                <wp:positionV relativeFrom="paragraph">
                  <wp:posOffset>86360</wp:posOffset>
                </wp:positionV>
                <wp:extent cx="3315970" cy="1705610"/>
                <wp:effectExtent l="0" t="0" r="17780" b="27940"/>
                <wp:wrapSquare wrapText="bothSides"/>
                <wp:docPr id="8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1705610"/>
                        </a:xfrm>
                        <a:prstGeom prst="rect">
                          <a:avLst/>
                        </a:prstGeom>
                        <a:ln w="22352">
                          <a:solidFill>
                            <a:srgbClr val="FF33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543D" w:rsidRDefault="00004002">
                            <w:pPr>
                              <w:pStyle w:val="Framecontents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De vrais emplois</w:t>
                            </w:r>
                          </w:p>
                          <w:p w:rsidR="00C4543D" w:rsidRDefault="00C4543D">
                            <w:pPr>
                              <w:pStyle w:val="Standard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l’arrêt des politiques d’austérité</w:t>
                            </w: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une évaluation des politiques publiques et la conditionnalité des aides aux entreprises</w:t>
                            </w: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une 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politique de relance de l’activité</w:t>
                            </w:r>
                          </w:p>
                          <w:p w:rsidR="00C4543D" w:rsidRDefault="00004002" w:rsidP="003A145F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des emplois statutaires et CDI</w:t>
                            </w:r>
                          </w:p>
                          <w:p w:rsidR="00C4543D" w:rsidRDefault="00004002" w:rsidP="003A145F">
                            <w:pPr>
                              <w:pStyle w:val="Framecontents"/>
                              <w:numPr>
                                <w:ilvl w:val="0"/>
                                <w:numId w:val="8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en attente d’emplois pérennes, la reconduction des contrats aidés avec une vraie politique de formation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3" o:spid="_x0000_s1028" type="#_x0000_t202" style="position:absolute;margin-left:-16.1pt;margin-top:6.8pt;width:261.1pt;height:1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" filled="f" strokecolor="#f33" strokeweight="1.76pt">
                <v:textbox inset="0,0,0,0">
                  <w:txbxContent>
                    <w:p w:rsidR="00C4543D" w:rsidRDefault="00004002">
                      <w:pPr>
                        <w:pStyle w:val="Framecontents"/>
                        <w:jc w:val="both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De vrais emplois</w:t>
                      </w:r>
                    </w:p>
                    <w:p w:rsidR="00C4543D" w:rsidRDefault="00C4543D">
                      <w:pPr>
                        <w:pStyle w:val="Standard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l’arrêt des politiques d’austérité</w:t>
                      </w: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une évaluation des politiques publiques et la conditionnalité des aides aux entreprises</w:t>
                      </w: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une 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politique de relance de l’activité</w:t>
                      </w:r>
                    </w:p>
                    <w:p w:rsidR="00C4543D" w:rsidRDefault="00004002" w:rsidP="003A145F">
                      <w:pPr>
                        <w:pStyle w:val="Standard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des emplois statutaires et CDI</w:t>
                      </w:r>
                    </w:p>
                    <w:p w:rsidR="00C4543D" w:rsidRDefault="00004002" w:rsidP="003A145F">
                      <w:pPr>
                        <w:pStyle w:val="Framecontents"/>
                        <w:numPr>
                          <w:ilvl w:val="0"/>
                          <w:numId w:val="8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en attente d’emplois pérennes, la reconduction des contrats aidés avec une vraie politique de 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543D" w:rsidRPr="003A145F" w:rsidRDefault="00C4543D">
      <w:pPr>
        <w:pStyle w:val="Standard"/>
        <w:rPr>
          <w:rFonts w:ascii="Verdana" w:hAnsi="Verdana"/>
          <w:sz w:val="20"/>
          <w:szCs w:val="20"/>
        </w:rPr>
      </w:pPr>
    </w:p>
    <w:p w:rsidR="00C4543D" w:rsidRPr="003A145F" w:rsidRDefault="00C4543D">
      <w:pPr>
        <w:pStyle w:val="Standard"/>
        <w:rPr>
          <w:rFonts w:ascii="Verdana" w:hAnsi="Verdana"/>
          <w:sz w:val="20"/>
          <w:szCs w:val="20"/>
        </w:rPr>
      </w:pPr>
    </w:p>
    <w:p w:rsidR="00C4543D" w:rsidRPr="003A145F" w:rsidRDefault="003A145F">
      <w:pPr>
        <w:pStyle w:val="Standard"/>
        <w:rPr>
          <w:rFonts w:ascii="Verdana" w:hAnsi="Verdana"/>
          <w:sz w:val="20"/>
          <w:szCs w:val="20"/>
        </w:rPr>
      </w:pPr>
      <w:r w:rsidRPr="003A145F">
        <w:rPr>
          <w:rFonts w:ascii="Verdana" w:hAnsi="Verdana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074EF7B" wp14:editId="51142ACF">
                <wp:simplePos x="0" y="0"/>
                <wp:positionH relativeFrom="column">
                  <wp:posOffset>3198495</wp:posOffset>
                </wp:positionH>
                <wp:positionV relativeFrom="paragraph">
                  <wp:posOffset>25400</wp:posOffset>
                </wp:positionV>
                <wp:extent cx="3749675" cy="3561715"/>
                <wp:effectExtent l="0" t="0" r="22225" b="19685"/>
                <wp:wrapSquare wrapText="bothSides"/>
                <wp:docPr id="10" name="Cadre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675" cy="3561715"/>
                        </a:xfrm>
                        <a:prstGeom prst="rect">
                          <a:avLst/>
                        </a:prstGeom>
                        <a:ln w="22352">
                          <a:solidFill>
                            <a:srgbClr val="FF33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543D" w:rsidRDefault="00004002">
                            <w:pPr>
                              <w:pStyle w:val="Framecontents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Retraites</w:t>
                            </w:r>
                          </w:p>
                          <w:p w:rsidR="00C4543D" w:rsidRDefault="00C4543D">
                            <w:pPr>
                              <w:pStyle w:val="Standard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l’abandon de l'augmentation de la CSG de 1,7 %,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l’abrogation des mesures sur l'âge de départ à la 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retraite, les mesures fiscales,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une réelle revalorisation des pensions, indexée sur les salaires,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le paiement des pensions du régime général le 1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jour du mois,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une pension au moins égale au SMIC revalorisé, pour une carrière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complète ,</w:t>
                            </w:r>
                            <w:proofErr w:type="gramEnd"/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la création d’une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indemnité compensatrice de vie chère pour tous les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retraité.e.s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de La Réunion,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le maintien des pensions de réversion et la suppression des conditions de ressources,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Le rétablissement de la demi-part réservée aux veuves et veufs ayant élevé un enfant,</w:t>
                            </w:r>
                          </w:p>
                          <w:p w:rsidR="00C4543D" w:rsidRDefault="00004002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la 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non-imposition de la majoration de 10% de la pension pour les personnes ayant élevé au moins trois enfants.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8" o:spid="_x0000_s1029" type="#_x0000_t202" style="position:absolute;margin-left:251.85pt;margin-top:2pt;width:295.25pt;height:280.4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" filled="f" strokecolor="#f33" strokeweight="1.76pt">
                <v:textbox inset="0,0,0,0">
                  <w:txbxContent>
                    <w:p w:rsidR="00C4543D" w:rsidRDefault="00004002">
                      <w:pPr>
                        <w:pStyle w:val="Framecontents"/>
                      </w:pPr>
                      <w: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Retraites</w:t>
                      </w:r>
                    </w:p>
                    <w:p w:rsidR="00C4543D" w:rsidRDefault="00C4543D">
                      <w:pPr>
                        <w:pStyle w:val="Standard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l’abandon de l'augmentation de la CSG de 1,7 %,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l’abrogation des mesures sur l'âge de départ à la 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retraite, les mesures fiscales,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une réelle revalorisation des pensions, indexée sur les salaires,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le paiement des pensions du régime général le 1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  <w:vertAlign w:val="superscript"/>
                        </w:rPr>
                        <w:t>er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jour du mois,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une pension au moins égale au SMIC revalorisé, pour une carrière </w:t>
                      </w:r>
                      <w:proofErr w:type="gram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complète ,</w:t>
                      </w:r>
                      <w:proofErr w:type="gramEnd"/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la création d’une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indemnité compensatrice de vie chère pour tous les </w:t>
                      </w:r>
                      <w:proofErr w:type="spellStart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retraité.e.s</w:t>
                      </w:r>
                      <w:proofErr w:type="spellEnd"/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de La Réunion,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le maintien des pensions de réversion et la suppression des conditions de ressources,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Le rétablissement de la demi-part réservée aux veuves et veufs ayant élevé un enfant,</w:t>
                      </w:r>
                    </w:p>
                    <w:p w:rsidR="00C4543D" w:rsidRDefault="000040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after="0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la 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non-imposition de la majoration de 10% de la pension pour les personnes ayant élevé au moins trois enfants.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145F">
        <w:rPr>
          <w:rFonts w:ascii="Verdana" w:hAnsi="Verdana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3D88C170" wp14:editId="4271C3A6">
                <wp:simplePos x="0" y="0"/>
                <wp:positionH relativeFrom="column">
                  <wp:posOffset>-204470</wp:posOffset>
                </wp:positionH>
                <wp:positionV relativeFrom="paragraph">
                  <wp:posOffset>19050</wp:posOffset>
                </wp:positionV>
                <wp:extent cx="3315970" cy="1350645"/>
                <wp:effectExtent l="0" t="0" r="17780" b="20955"/>
                <wp:wrapSquare wrapText="bothSides"/>
                <wp:docPr id="11" name="Cadr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970" cy="1350645"/>
                        </a:xfrm>
                        <a:prstGeom prst="rect">
                          <a:avLst/>
                        </a:prstGeom>
                        <a:ln w="22352">
                          <a:solidFill>
                            <a:srgbClr val="FF33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543D" w:rsidRDefault="00004002">
                            <w:pPr>
                              <w:pStyle w:val="Framecontents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Pour les Services Publics</w:t>
                            </w:r>
                          </w:p>
                          <w:p w:rsidR="00C4543D" w:rsidRDefault="00C4543D">
                            <w:pPr>
                              <w:pStyle w:val="Standard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543D" w:rsidRDefault="00004002">
                            <w:pPr>
                              <w:pStyle w:val="Standard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un plan de rattrapage en postes</w:t>
                            </w:r>
                          </w:p>
                          <w:p w:rsidR="00C4543D" w:rsidRDefault="00004002">
                            <w:pPr>
                              <w:pStyle w:val="Standard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la mise en place d’un vrai plan de résorption de la précarité</w:t>
                            </w:r>
                          </w:p>
                          <w:p w:rsidR="00C4543D" w:rsidRDefault="00004002">
                            <w:pPr>
                              <w:pStyle w:val="Standard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une couverture territor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iale à la hauteur des besoins</w:t>
                            </w:r>
                          </w:p>
                          <w:p w:rsidR="00C4543D" w:rsidRDefault="00004002">
                            <w:pPr>
                              <w:pStyle w:val="Standard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l’abandon des orientations CAP22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5" o:spid="_x0000_s1030" type="#_x0000_t202" style="position:absolute;margin-left:-16.1pt;margin-top:1.5pt;width:261.1pt;height:106.3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" filled="f" strokecolor="#f33" strokeweight="1.76pt">
                <v:textbox inset="0,0,0,0">
                  <w:txbxContent>
                    <w:p w:rsidR="00C4543D" w:rsidRDefault="00004002">
                      <w:pPr>
                        <w:pStyle w:val="Framecontents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Pour les Services Publics</w:t>
                      </w:r>
                    </w:p>
                    <w:p w:rsidR="00C4543D" w:rsidRDefault="00C4543D">
                      <w:pPr>
                        <w:pStyle w:val="Standard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543D" w:rsidRDefault="00004002">
                      <w:pPr>
                        <w:pStyle w:val="Standard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un plan de rattrapage en postes</w:t>
                      </w:r>
                    </w:p>
                    <w:p w:rsidR="00C4543D" w:rsidRDefault="00004002">
                      <w:pPr>
                        <w:pStyle w:val="Standard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la mise en place d’un vrai plan de résorption de la précarité</w:t>
                      </w:r>
                    </w:p>
                    <w:p w:rsidR="00C4543D" w:rsidRDefault="00004002">
                      <w:pPr>
                        <w:pStyle w:val="Standard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une couverture territor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iale à la hauteur des besoins</w:t>
                      </w:r>
                    </w:p>
                    <w:p w:rsidR="00C4543D" w:rsidRDefault="00004002">
                      <w:pPr>
                        <w:pStyle w:val="Standard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l’abandon des orientations CAP22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543D" w:rsidRPr="003A145F" w:rsidRDefault="00C4543D">
      <w:pPr>
        <w:pStyle w:val="Standard"/>
        <w:rPr>
          <w:rFonts w:ascii="Verdana" w:hAnsi="Verdana"/>
          <w:sz w:val="20"/>
          <w:szCs w:val="20"/>
        </w:rPr>
      </w:pPr>
    </w:p>
    <w:p w:rsidR="00C4543D" w:rsidRPr="003A145F" w:rsidRDefault="003A145F">
      <w:pPr>
        <w:pStyle w:val="Standard"/>
        <w:rPr>
          <w:rFonts w:ascii="Verdana" w:hAnsi="Verdana"/>
          <w:sz w:val="20"/>
          <w:szCs w:val="20"/>
        </w:rPr>
      </w:pPr>
      <w:r w:rsidRPr="003A145F">
        <w:rPr>
          <w:rFonts w:ascii="Verdana" w:hAnsi="Verdana"/>
          <w:noProof/>
          <w:sz w:val="20"/>
          <w:szCs w:val="20"/>
          <w:lang w:eastAsia="fr-F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EBEE4BD" wp14:editId="6C59EFB6">
                <wp:simplePos x="0" y="0"/>
                <wp:positionH relativeFrom="column">
                  <wp:posOffset>-161290</wp:posOffset>
                </wp:positionH>
                <wp:positionV relativeFrom="paragraph">
                  <wp:posOffset>77470</wp:posOffset>
                </wp:positionV>
                <wp:extent cx="3275330" cy="2155825"/>
                <wp:effectExtent l="0" t="0" r="20320" b="15875"/>
                <wp:wrapSquare wrapText="bothSides"/>
                <wp:docPr id="12" name="Cadre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5330" cy="2155825"/>
                        </a:xfrm>
                        <a:prstGeom prst="rect">
                          <a:avLst/>
                        </a:prstGeom>
                        <a:ln w="22352">
                          <a:solidFill>
                            <a:srgbClr val="FF3333"/>
                          </a:solidFill>
                          <a:prstDash val="solid"/>
                        </a:ln>
                      </wps:spPr>
                      <wps:txbx>
                        <w:txbxContent>
                          <w:p w:rsidR="00C4543D" w:rsidRDefault="00004002">
                            <w:pPr>
                              <w:pStyle w:val="Framecontents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2"/>
                                <w:szCs w:val="22"/>
                              </w:rPr>
                              <w:t>Social</w:t>
                            </w:r>
                          </w:p>
                          <w:p w:rsidR="00C4543D" w:rsidRDefault="00C4543D">
                            <w:pPr>
                              <w:pStyle w:val="Standard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</w:p>
                          <w:p w:rsidR="00C4543D" w:rsidRDefault="00004002">
                            <w:pPr>
                              <w:pStyle w:val="Standard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l’amélioration de la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 couverture conventionnelle, de la prévoyance lourde et Santé</w:t>
                            </w:r>
                          </w:p>
                          <w:p w:rsidR="00C4543D" w:rsidRDefault="00004002" w:rsidP="003A145F">
                            <w:pPr>
                              <w:pStyle w:val="Framecontents"/>
                              <w:numPr>
                                <w:ilvl w:val="0"/>
                                <w:numId w:val="6"/>
                              </w:numPr>
                              <w:ind w:left="-1276"/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 xml:space="preserve">un vrai dialogue social  qui respecte et renforce les instances paritaires (CAP, CHS-CT, …….)  </w:t>
                            </w:r>
                          </w:p>
                          <w:p w:rsidR="00C4543D" w:rsidRDefault="00004002">
                            <w:pPr>
                              <w:pStyle w:val="Framecontents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l’application des conventions collectives à la Réunion</w:t>
                            </w:r>
                          </w:p>
                          <w:p w:rsidR="00C4543D" w:rsidRDefault="00004002">
                            <w:pPr>
                              <w:pStyle w:val="Framecontents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la construction de logements à la hauteur d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es besoins</w:t>
                            </w:r>
                          </w:p>
                          <w:p w:rsidR="00C4543D" w:rsidRDefault="00004002">
                            <w:pPr>
                              <w:pStyle w:val="Framecontents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</w:rPr>
                              <w:t>un véritable plan de lutte contre la pauvreté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dre7" o:spid="_x0000_s1031" type="#_x0000_t202" style="position:absolute;margin-left:-12.7pt;margin-top:6.1pt;width:257.9pt;height:169.7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" filled="f" strokecolor="#f33" strokeweight="1.76pt">
                <v:textbox inset="0,0,0,0">
                  <w:txbxContent>
                    <w:p w:rsidR="00C4543D" w:rsidRDefault="00004002">
                      <w:pPr>
                        <w:pStyle w:val="Framecontents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bCs/>
                          <w:sz w:val="22"/>
                          <w:szCs w:val="22"/>
                        </w:rPr>
                        <w:t>Social</w:t>
                      </w:r>
                    </w:p>
                    <w:p w:rsidR="00C4543D" w:rsidRDefault="00C4543D">
                      <w:pPr>
                        <w:pStyle w:val="Standard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</w:p>
                    <w:p w:rsidR="00C4543D" w:rsidRDefault="00004002">
                      <w:pPr>
                        <w:pStyle w:val="Standard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l’amélioration de la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 couverture conventionnelle, de la prévoyance lourde et Santé</w:t>
                      </w:r>
                    </w:p>
                    <w:p w:rsidR="00C4543D" w:rsidRDefault="00004002" w:rsidP="003A145F">
                      <w:pPr>
                        <w:pStyle w:val="Framecontents"/>
                        <w:numPr>
                          <w:ilvl w:val="0"/>
                          <w:numId w:val="6"/>
                        </w:numPr>
                        <w:ind w:left="-1276"/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 xml:space="preserve">un vrai dialogue social  qui respecte et renforce les instances paritaires (CAP, CHS-CT, …….)  </w:t>
                      </w:r>
                    </w:p>
                    <w:p w:rsidR="00C4543D" w:rsidRDefault="00004002">
                      <w:pPr>
                        <w:pStyle w:val="Framecontents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l’application des conventions collectives à la Réunion</w:t>
                      </w:r>
                    </w:p>
                    <w:p w:rsidR="00C4543D" w:rsidRDefault="00004002">
                      <w:pPr>
                        <w:pStyle w:val="Framecontents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la construction de logements à la hauteur d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es besoins</w:t>
                      </w:r>
                    </w:p>
                    <w:p w:rsidR="00C4543D" w:rsidRDefault="00004002">
                      <w:pPr>
                        <w:pStyle w:val="Framecontents"/>
                        <w:numPr>
                          <w:ilvl w:val="0"/>
                          <w:numId w:val="6"/>
                        </w:numPr>
                        <w:jc w:val="both"/>
                        <w:rPr>
                          <w:rFonts w:ascii="Verdana" w:hAnsi="Verdana"/>
                          <w:sz w:val="21"/>
                          <w:szCs w:val="21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</w:rPr>
                        <w:t>un véritable plan de lutte contre la pauvreté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4543D" w:rsidRPr="003A145F">
      <w:pgSz w:w="11906" w:h="16838"/>
      <w:pgMar w:top="1134" w:right="794" w:bottom="85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02" w:rsidRDefault="00004002">
      <w:r>
        <w:separator/>
      </w:r>
    </w:p>
  </w:endnote>
  <w:endnote w:type="continuationSeparator" w:id="0">
    <w:p w:rsidR="00004002" w:rsidRDefault="0000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Liberation Sans"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02" w:rsidRDefault="00004002">
      <w:r>
        <w:rPr>
          <w:color w:val="000000"/>
        </w:rPr>
        <w:separator/>
      </w:r>
    </w:p>
  </w:footnote>
  <w:footnote w:type="continuationSeparator" w:id="0">
    <w:p w:rsidR="00004002" w:rsidRDefault="0000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C0F"/>
    <w:multiLevelType w:val="multilevel"/>
    <w:tmpl w:val="37FE6478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1">
    <w:nsid w:val="22B109E8"/>
    <w:multiLevelType w:val="multilevel"/>
    <w:tmpl w:val="88908816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2">
    <w:nsid w:val="2A8D18C7"/>
    <w:multiLevelType w:val="multilevel"/>
    <w:tmpl w:val="8AF08BD6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3">
    <w:nsid w:val="2C543D41"/>
    <w:multiLevelType w:val="multilevel"/>
    <w:tmpl w:val="285462AE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4">
    <w:nsid w:val="5E0C4A84"/>
    <w:multiLevelType w:val="multilevel"/>
    <w:tmpl w:val="EA86D88A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5">
    <w:nsid w:val="6F8629E5"/>
    <w:multiLevelType w:val="multilevel"/>
    <w:tmpl w:val="E1867092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6">
    <w:nsid w:val="75F051ED"/>
    <w:multiLevelType w:val="multilevel"/>
    <w:tmpl w:val="83827C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abstractNum w:abstractNumId="7">
    <w:nsid w:val="7FA37267"/>
    <w:multiLevelType w:val="multilevel"/>
    <w:tmpl w:val="4F04B97C"/>
    <w:styleLink w:val="WWNum1"/>
    <w:lvl w:ilvl="0">
      <w:numFmt w:val="bullet"/>
      <w:lvlText w:val=""/>
      <w:lvlJc w:val="left"/>
      <w:rPr>
        <w:rFonts w:ascii="Wingdings" w:eastAsia="SimSun" w:hAnsi="Wingdings" w:cs="Lucida Sans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7"/>
    <w:lvlOverride w:ilvl="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4543D"/>
    <w:rsid w:val="00004002"/>
    <w:rsid w:val="001D07B8"/>
    <w:rsid w:val="003A145F"/>
    <w:rsid w:val="00505839"/>
    <w:rsid w:val="008D14B8"/>
    <w:rsid w:val="00C4543D"/>
    <w:rsid w:val="00F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NormalWeb">
    <w:name w:val="Normal (Web)"/>
    <w:basedOn w:val="Standard"/>
    <w:pPr>
      <w:spacing w:before="280" w:after="119"/>
    </w:pPr>
    <w:rPr>
      <w:rFonts w:ascii="Times New Roman" w:eastAsia="MS Mincho" w:hAnsi="Times New Roman" w:cs="Times New Roman"/>
      <w:lang w:eastAsia="ja-JP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SimSun" w:cs="Lucida San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styleId="NormalWeb">
    <w:name w:val="Normal (Web)"/>
    <w:basedOn w:val="Standard"/>
    <w:pPr>
      <w:spacing w:before="280" w:after="119"/>
    </w:pPr>
    <w:rPr>
      <w:rFonts w:ascii="Times New Roman" w:eastAsia="MS Mincho" w:hAnsi="Times New Roman" w:cs="Times New Roman"/>
      <w:lang w:eastAsia="ja-JP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eastAsia="SimSun" w:cs="Lucida San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stéphenson lallemand</dc:creator>
  <cp:lastModifiedBy>stéphenson lallemand</cp:lastModifiedBy>
  <cp:revision>2</cp:revision>
  <dcterms:created xsi:type="dcterms:W3CDTF">2018-09-19T14:45:00Z</dcterms:created>
  <dcterms:modified xsi:type="dcterms:W3CDTF">2018-09-19T14:45:00Z</dcterms:modified>
</cp:coreProperties>
</file>